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spacing w:line="440" w:lineRule="exact"/>
        <w:rPr>
          <w:rFonts w:hint="eastAsia" w:ascii="宋体" w:hAnsi="宋体" w:cs="宋体"/>
          <w:bCs/>
          <w:szCs w:val="28"/>
        </w:rPr>
      </w:pPr>
      <w:r>
        <w:rPr>
          <w:rFonts w:hint="eastAsia" w:ascii="宋体" w:hAnsi="宋体" w:cs="宋体"/>
          <w:bCs/>
          <w:szCs w:val="28"/>
        </w:rPr>
        <w:t>附件四:</w:t>
      </w:r>
    </w:p>
    <w:p>
      <w:pPr>
        <w:snapToGrid w:val="0"/>
        <w:spacing w:line="440" w:lineRule="exact"/>
        <w:jc w:val="center"/>
        <w:rPr>
          <w:rFonts w:hint="eastAsia" w:ascii="楷体_GB2312" w:hAnsi="楷体" w:eastAsia="楷体_GB2312" w:cs="楷体"/>
          <w:b/>
          <w:sz w:val="44"/>
          <w:szCs w:val="44"/>
        </w:rPr>
      </w:pPr>
      <w:bookmarkStart w:id="0" w:name="_GoBack"/>
      <w:r>
        <w:rPr>
          <w:rFonts w:hint="eastAsia" w:ascii="楷体_GB2312" w:hAnsi="楷体" w:eastAsia="楷体_GB2312" w:cs="楷体"/>
          <w:b/>
          <w:sz w:val="44"/>
          <w:szCs w:val="44"/>
        </w:rPr>
        <w:t>江西农业大学研究生调研大赛初赛</w:t>
      </w:r>
    </w:p>
    <w:p>
      <w:pPr>
        <w:snapToGrid w:val="0"/>
        <w:spacing w:line="440" w:lineRule="exact"/>
        <w:jc w:val="center"/>
        <w:rPr>
          <w:rFonts w:hint="eastAsia" w:ascii="楷体_GB2312" w:hAnsi="楷体" w:eastAsia="楷体_GB2312" w:cs="楷体"/>
          <w:b/>
          <w:sz w:val="44"/>
          <w:szCs w:val="44"/>
        </w:rPr>
      </w:pPr>
      <w:r>
        <w:rPr>
          <w:rFonts w:hint="eastAsia" w:ascii="楷体_GB2312" w:hAnsi="楷体" w:eastAsia="楷体_GB2312" w:cs="楷体"/>
          <w:b/>
          <w:sz w:val="44"/>
          <w:szCs w:val="44"/>
        </w:rPr>
        <w:t>报告评分细则</w:t>
      </w:r>
      <w:bookmarkEnd w:id="0"/>
    </w:p>
    <w:p>
      <w:pPr>
        <w:snapToGrid w:val="0"/>
        <w:spacing w:line="440" w:lineRule="exact"/>
        <w:rPr>
          <w:rFonts w:hint="eastAsia" w:ascii="楷体_GB2312" w:hAnsi="楷体" w:eastAsia="楷体_GB2312" w:cs="楷体"/>
          <w:b/>
          <w:bCs/>
          <w:szCs w:val="28"/>
        </w:rPr>
      </w:pPr>
      <w:r>
        <w:rPr>
          <w:rFonts w:hint="eastAsia" w:ascii="楷体_GB2312" w:hAnsi="楷体" w:eastAsia="楷体_GB2312" w:cs="楷体"/>
          <w:b/>
          <w:bCs/>
          <w:szCs w:val="28"/>
        </w:rPr>
        <w:t>一、评分时考虑的主要因素：</w:t>
      </w:r>
    </w:p>
    <w:p>
      <w:pPr>
        <w:snapToGrid w:val="0"/>
        <w:spacing w:line="440" w:lineRule="exact"/>
        <w:rPr>
          <w:rFonts w:hint="eastAsia" w:ascii="楷体_GB2312" w:hAnsi="楷体" w:eastAsia="楷体_GB2312" w:cs="楷体"/>
          <w:szCs w:val="28"/>
        </w:rPr>
      </w:pPr>
      <w:r>
        <w:rPr>
          <w:rFonts w:hint="eastAsia" w:ascii="楷体_GB2312" w:hAnsi="楷体" w:eastAsia="楷体_GB2312" w:cs="楷体"/>
          <w:szCs w:val="28"/>
        </w:rPr>
        <w:t>1）选题得当，符合社会主义核心价值观；符合活动品牌和活动主题。</w:t>
      </w:r>
    </w:p>
    <w:p>
      <w:pPr>
        <w:snapToGrid w:val="0"/>
        <w:spacing w:line="440" w:lineRule="exact"/>
        <w:rPr>
          <w:rFonts w:hint="eastAsia" w:ascii="楷体_GB2312" w:hAnsi="楷体" w:eastAsia="楷体_GB2312" w:cs="楷体"/>
          <w:szCs w:val="28"/>
        </w:rPr>
      </w:pPr>
      <w:r>
        <w:rPr>
          <w:rFonts w:hint="eastAsia" w:ascii="楷体_GB2312" w:hAnsi="楷体" w:eastAsia="楷体_GB2312" w:cs="楷体"/>
          <w:szCs w:val="28"/>
        </w:rPr>
        <w:t>2）调查报告或实习的真实性；</w:t>
      </w:r>
    </w:p>
    <w:p>
      <w:pPr>
        <w:snapToGrid w:val="0"/>
        <w:spacing w:line="440" w:lineRule="exact"/>
        <w:rPr>
          <w:rFonts w:hint="eastAsia" w:ascii="楷体_GB2312" w:hAnsi="楷体" w:eastAsia="楷体_GB2312" w:cs="楷体"/>
          <w:szCs w:val="28"/>
        </w:rPr>
      </w:pPr>
      <w:r>
        <w:rPr>
          <w:rFonts w:hint="eastAsia" w:ascii="楷体_GB2312" w:hAnsi="楷体" w:eastAsia="楷体_GB2312" w:cs="楷体"/>
          <w:szCs w:val="28"/>
        </w:rPr>
        <w:t>3）现象陈述的合理性；</w:t>
      </w:r>
    </w:p>
    <w:p>
      <w:pPr>
        <w:snapToGrid w:val="0"/>
        <w:spacing w:line="440" w:lineRule="exact"/>
        <w:rPr>
          <w:rFonts w:hint="eastAsia" w:ascii="楷体_GB2312" w:hAnsi="楷体" w:eastAsia="楷体_GB2312" w:cs="楷体"/>
          <w:szCs w:val="28"/>
        </w:rPr>
      </w:pPr>
      <w:r>
        <w:rPr>
          <w:rFonts w:hint="eastAsia" w:ascii="楷体_GB2312" w:hAnsi="楷体" w:eastAsia="楷体_GB2312" w:cs="楷体"/>
          <w:szCs w:val="28"/>
        </w:rPr>
        <w:t>4）问题分析的深刻、详实；</w:t>
      </w:r>
    </w:p>
    <w:p>
      <w:pPr>
        <w:snapToGrid w:val="0"/>
        <w:spacing w:line="440" w:lineRule="exact"/>
        <w:rPr>
          <w:rFonts w:hint="eastAsia" w:ascii="楷体_GB2312" w:hAnsi="楷体" w:eastAsia="楷体_GB2312" w:cs="楷体"/>
          <w:szCs w:val="28"/>
        </w:rPr>
      </w:pPr>
      <w:r>
        <w:rPr>
          <w:rFonts w:hint="eastAsia" w:ascii="楷体_GB2312" w:hAnsi="楷体" w:eastAsia="楷体_GB2312" w:cs="楷体"/>
          <w:szCs w:val="28"/>
        </w:rPr>
        <w:t>5）问题解决措施的合理到位；</w:t>
      </w:r>
    </w:p>
    <w:p>
      <w:pPr>
        <w:snapToGrid w:val="0"/>
        <w:spacing w:line="440" w:lineRule="exact"/>
        <w:rPr>
          <w:rFonts w:hint="eastAsia" w:ascii="楷体_GB2312" w:hAnsi="楷体" w:eastAsia="楷体_GB2312" w:cs="楷体"/>
          <w:szCs w:val="28"/>
        </w:rPr>
      </w:pPr>
      <w:r>
        <w:rPr>
          <w:rFonts w:hint="eastAsia" w:ascii="楷体_GB2312" w:hAnsi="楷体" w:eastAsia="楷体_GB2312" w:cs="楷体"/>
          <w:szCs w:val="28"/>
        </w:rPr>
        <w:t>6）报告结构的严密性和逻辑性；</w:t>
      </w:r>
    </w:p>
    <w:p>
      <w:pPr>
        <w:snapToGrid w:val="0"/>
        <w:spacing w:line="440" w:lineRule="exact"/>
        <w:rPr>
          <w:rFonts w:hint="eastAsia" w:ascii="楷体_GB2312" w:hAnsi="楷体" w:eastAsia="楷体_GB2312" w:cs="楷体"/>
          <w:szCs w:val="28"/>
        </w:rPr>
      </w:pPr>
      <w:r>
        <w:rPr>
          <w:rFonts w:hint="eastAsia" w:ascii="楷体_GB2312" w:hAnsi="楷体" w:eastAsia="楷体_GB2312" w:cs="楷体"/>
          <w:szCs w:val="28"/>
        </w:rPr>
        <w:t>7）语言的表达；</w:t>
      </w:r>
    </w:p>
    <w:p>
      <w:pPr>
        <w:snapToGrid w:val="0"/>
        <w:spacing w:line="440" w:lineRule="exact"/>
        <w:rPr>
          <w:rFonts w:hint="eastAsia" w:ascii="楷体_GB2312" w:hAnsi="楷体" w:eastAsia="楷体_GB2312" w:cs="楷体"/>
          <w:color w:val="FF0000"/>
          <w:szCs w:val="28"/>
        </w:rPr>
      </w:pPr>
      <w:r>
        <w:rPr>
          <w:rFonts w:hint="eastAsia" w:ascii="楷体_GB2312" w:hAnsi="楷体" w:eastAsia="楷体_GB2312" w:cs="楷体"/>
          <w:szCs w:val="28"/>
        </w:rPr>
        <w:t>8）字数要求：不少于</w:t>
      </w:r>
      <w:r>
        <w:rPr>
          <w:rFonts w:hint="eastAsia" w:ascii="楷体_GB2312" w:hAnsi="楷体" w:eastAsia="楷体_GB2312" w:cs="楷体"/>
          <w:color w:val="000000"/>
          <w:szCs w:val="28"/>
        </w:rPr>
        <w:t>5000字。</w:t>
      </w:r>
    </w:p>
    <w:p>
      <w:pPr>
        <w:snapToGrid w:val="0"/>
        <w:spacing w:line="440" w:lineRule="exact"/>
        <w:rPr>
          <w:rFonts w:hint="eastAsia" w:ascii="楷体_GB2312" w:hAnsi="楷体" w:eastAsia="楷体_GB2312" w:cs="楷体"/>
          <w:b/>
          <w:bCs/>
          <w:szCs w:val="28"/>
        </w:rPr>
      </w:pPr>
      <w:r>
        <w:rPr>
          <w:rFonts w:hint="eastAsia" w:ascii="楷体_GB2312" w:hAnsi="楷体" w:eastAsia="楷体_GB2312" w:cs="楷体"/>
          <w:b/>
          <w:bCs/>
          <w:szCs w:val="28"/>
        </w:rPr>
        <w:t>二、得分要素</w:t>
      </w:r>
    </w:p>
    <w:p>
      <w:pPr>
        <w:numPr>
          <w:ilvl w:val="0"/>
          <w:numId w:val="1"/>
        </w:numPr>
        <w:snapToGrid w:val="0"/>
        <w:spacing w:line="440" w:lineRule="exact"/>
        <w:jc w:val="left"/>
        <w:rPr>
          <w:rFonts w:hint="eastAsia" w:ascii="楷体_GB2312" w:hAnsi="楷体" w:eastAsia="楷体_GB2312" w:cs="楷体"/>
          <w:szCs w:val="28"/>
        </w:rPr>
      </w:pPr>
      <w:r>
        <w:rPr>
          <w:rFonts w:hint="eastAsia" w:ascii="楷体_GB2312" w:hAnsi="楷体" w:eastAsia="楷体_GB2312" w:cs="楷体"/>
          <w:szCs w:val="28"/>
        </w:rPr>
        <w:t>调研目的明确，围绕品牌和主题开展调查。</w:t>
      </w:r>
    </w:p>
    <w:p>
      <w:pPr>
        <w:snapToGrid w:val="0"/>
        <w:spacing w:line="440" w:lineRule="exact"/>
        <w:jc w:val="left"/>
        <w:rPr>
          <w:rFonts w:hint="eastAsia" w:ascii="楷体_GB2312" w:hAnsi="楷体" w:eastAsia="楷体_GB2312" w:cs="楷体"/>
          <w:szCs w:val="28"/>
        </w:rPr>
      </w:pPr>
      <w:r>
        <w:rPr>
          <w:rFonts w:hint="eastAsia" w:ascii="楷体_GB2312" w:hAnsi="楷体" w:eastAsia="楷体_GB2312" w:cs="楷体"/>
          <w:szCs w:val="28"/>
        </w:rPr>
        <w:t>2）时间、地点、对象和调查内容陈述详细；实地调查的照片或视频要真实。</w:t>
      </w:r>
    </w:p>
    <w:p>
      <w:pPr>
        <w:snapToGrid w:val="0"/>
        <w:spacing w:line="440" w:lineRule="exact"/>
        <w:jc w:val="left"/>
        <w:rPr>
          <w:rFonts w:hint="eastAsia" w:ascii="楷体_GB2312" w:hAnsi="楷体" w:eastAsia="楷体_GB2312" w:cs="楷体"/>
          <w:szCs w:val="28"/>
        </w:rPr>
      </w:pPr>
      <w:r>
        <w:rPr>
          <w:rFonts w:hint="eastAsia" w:ascii="楷体_GB2312" w:hAnsi="楷体" w:eastAsia="楷体_GB2312" w:cs="楷体"/>
          <w:szCs w:val="28"/>
        </w:rPr>
        <w:t>3）严格限定在规定的范围内进行调查，不任意扩大调查范围；</w:t>
      </w:r>
    </w:p>
    <w:p>
      <w:pPr>
        <w:snapToGrid w:val="0"/>
        <w:spacing w:line="440" w:lineRule="exact"/>
        <w:jc w:val="left"/>
        <w:rPr>
          <w:rFonts w:hint="eastAsia" w:ascii="楷体_GB2312" w:hAnsi="楷体" w:eastAsia="楷体_GB2312" w:cs="楷体"/>
          <w:szCs w:val="28"/>
        </w:rPr>
      </w:pPr>
      <w:r>
        <w:rPr>
          <w:rFonts w:hint="eastAsia" w:ascii="楷体_GB2312" w:hAnsi="楷体" w:eastAsia="楷体_GB2312" w:cs="楷体"/>
          <w:szCs w:val="28"/>
        </w:rPr>
        <w:t>4）分析有理有据，结论正确；</w:t>
      </w:r>
    </w:p>
    <w:p>
      <w:pPr>
        <w:snapToGrid w:val="0"/>
        <w:spacing w:line="440" w:lineRule="exact"/>
        <w:jc w:val="left"/>
        <w:rPr>
          <w:rFonts w:hint="eastAsia" w:ascii="楷体_GB2312" w:hAnsi="楷体" w:eastAsia="楷体_GB2312" w:cs="楷体"/>
          <w:szCs w:val="28"/>
        </w:rPr>
      </w:pPr>
      <w:r>
        <w:rPr>
          <w:rFonts w:hint="eastAsia" w:ascii="楷体_GB2312" w:hAnsi="楷体" w:eastAsia="楷体_GB2312" w:cs="楷体"/>
          <w:szCs w:val="28"/>
        </w:rPr>
        <w:t>5）层次、段落清晰，语言通顺，无错别字，符合中文行文格式。</w:t>
      </w:r>
    </w:p>
    <w:p>
      <w:pPr>
        <w:snapToGrid w:val="0"/>
        <w:spacing w:line="440" w:lineRule="exact"/>
        <w:jc w:val="left"/>
        <w:rPr>
          <w:rFonts w:hint="eastAsia" w:ascii="楷体_GB2312" w:hAnsi="楷体" w:eastAsia="楷体_GB2312" w:cs="楷体"/>
          <w:szCs w:val="28"/>
        </w:rPr>
      </w:pPr>
      <w:r>
        <w:rPr>
          <w:rFonts w:hint="eastAsia" w:ascii="楷体_GB2312" w:hAnsi="楷体" w:eastAsia="楷体_GB2312" w:cs="楷体"/>
          <w:szCs w:val="28"/>
        </w:rPr>
        <w:t>以上要求每项20分，如其他方面有欠缺可酌情扣分。</w:t>
      </w:r>
    </w:p>
    <w:p>
      <w:pPr>
        <w:snapToGrid w:val="0"/>
        <w:spacing w:line="440" w:lineRule="exact"/>
        <w:rPr>
          <w:rFonts w:hint="eastAsia" w:ascii="楷体_GB2312" w:hAnsi="楷体" w:eastAsia="楷体_GB2312" w:cs="楷体"/>
          <w:b/>
          <w:bCs/>
          <w:szCs w:val="28"/>
        </w:rPr>
      </w:pPr>
      <w:r>
        <w:rPr>
          <w:rFonts w:hint="eastAsia" w:ascii="楷体_GB2312" w:hAnsi="楷体" w:eastAsia="楷体_GB2312" w:cs="楷体"/>
          <w:b/>
          <w:bCs/>
          <w:szCs w:val="28"/>
        </w:rPr>
        <w:t>三、扣分环节</w:t>
      </w:r>
    </w:p>
    <w:p>
      <w:pPr>
        <w:snapToGrid w:val="0"/>
        <w:spacing w:line="440" w:lineRule="exact"/>
        <w:jc w:val="left"/>
        <w:rPr>
          <w:rFonts w:hint="eastAsia" w:ascii="楷体_GB2312" w:hAnsi="楷体" w:eastAsia="楷体_GB2312" w:cs="楷体"/>
          <w:szCs w:val="28"/>
        </w:rPr>
      </w:pPr>
      <w:r>
        <w:rPr>
          <w:rFonts w:hint="eastAsia" w:ascii="楷体_GB2312" w:hAnsi="楷体" w:eastAsia="楷体_GB2312" w:cs="楷体"/>
          <w:szCs w:val="28"/>
        </w:rPr>
        <w:t>1）没有进行实地调查，凭空胡编乱造；</w:t>
      </w:r>
    </w:p>
    <w:p>
      <w:pPr>
        <w:snapToGrid w:val="0"/>
        <w:spacing w:line="440" w:lineRule="exact"/>
        <w:jc w:val="left"/>
        <w:rPr>
          <w:rFonts w:hint="eastAsia" w:ascii="楷体_GB2312" w:hAnsi="楷体" w:eastAsia="楷体_GB2312" w:cs="楷体"/>
          <w:szCs w:val="28"/>
        </w:rPr>
      </w:pPr>
      <w:r>
        <w:rPr>
          <w:rFonts w:hint="eastAsia" w:ascii="楷体_GB2312" w:hAnsi="楷体" w:eastAsia="楷体_GB2312" w:cs="楷体"/>
          <w:szCs w:val="28"/>
        </w:rPr>
        <w:t>2）内容与本次调研主题不符合、或直接网络下载无关内容拼凑；</w:t>
      </w:r>
    </w:p>
    <w:p>
      <w:pPr>
        <w:snapToGrid w:val="0"/>
        <w:spacing w:line="440" w:lineRule="exact"/>
        <w:jc w:val="left"/>
        <w:rPr>
          <w:rFonts w:hint="eastAsia" w:ascii="楷体_GB2312" w:hAnsi="楷体" w:eastAsia="楷体_GB2312" w:cs="楷体"/>
          <w:szCs w:val="28"/>
        </w:rPr>
      </w:pPr>
      <w:r>
        <w:rPr>
          <w:rFonts w:hint="eastAsia" w:ascii="楷体_GB2312" w:hAnsi="楷体" w:eastAsia="楷体_GB2312" w:cs="楷体"/>
          <w:szCs w:val="28"/>
        </w:rPr>
        <w:t>3）任意扩大范围，没有对规定的主题、对象进行调研；</w:t>
      </w:r>
    </w:p>
    <w:p>
      <w:pPr>
        <w:snapToGrid w:val="0"/>
        <w:spacing w:line="440" w:lineRule="exact"/>
        <w:jc w:val="left"/>
        <w:rPr>
          <w:rFonts w:hint="eastAsia" w:ascii="楷体_GB2312" w:hAnsi="楷体" w:eastAsia="楷体_GB2312" w:cs="楷体"/>
          <w:szCs w:val="28"/>
        </w:rPr>
      </w:pPr>
      <w:r>
        <w:rPr>
          <w:rFonts w:hint="eastAsia" w:ascii="楷体_GB2312" w:hAnsi="楷体" w:eastAsia="楷体_GB2312" w:cs="楷体"/>
          <w:szCs w:val="28"/>
        </w:rPr>
        <w:t>4）抄袭（同学间抄袭和网络抄袭）、或大量内容类同；</w:t>
      </w:r>
    </w:p>
    <w:p>
      <w:pPr>
        <w:numPr>
          <w:ilvl w:val="0"/>
          <w:numId w:val="2"/>
        </w:numPr>
        <w:snapToGrid w:val="0"/>
        <w:spacing w:line="440" w:lineRule="exact"/>
        <w:jc w:val="left"/>
        <w:rPr>
          <w:rFonts w:hint="eastAsia" w:ascii="楷体_GB2312" w:hAnsi="楷体" w:eastAsia="楷体_GB2312" w:cs="楷体"/>
          <w:szCs w:val="28"/>
        </w:rPr>
      </w:pPr>
      <w:r>
        <w:rPr>
          <w:rFonts w:hint="eastAsia" w:ascii="楷体_GB2312" w:hAnsi="楷体" w:eastAsia="楷体_GB2312" w:cs="楷体"/>
          <w:szCs w:val="28"/>
        </w:rPr>
        <w:t>层析混乱，内容错杂；</w:t>
      </w:r>
    </w:p>
    <w:p>
      <w:pPr>
        <w:snapToGrid w:val="0"/>
        <w:spacing w:line="440" w:lineRule="exact"/>
        <w:rPr>
          <w:rFonts w:hint="eastAsia" w:ascii="楷体_GB2312" w:hAnsi="楷体" w:eastAsia="楷体_GB2312" w:cs="楷体"/>
          <w:b/>
          <w:bCs/>
          <w:szCs w:val="28"/>
        </w:rPr>
      </w:pPr>
      <w:r>
        <w:rPr>
          <w:rFonts w:hint="eastAsia" w:ascii="楷体_GB2312" w:hAnsi="楷体" w:eastAsia="楷体_GB2312" w:cs="楷体"/>
          <w:b/>
          <w:bCs/>
          <w:szCs w:val="28"/>
        </w:rPr>
        <w:t>四、附加分环节</w:t>
      </w:r>
    </w:p>
    <w:p>
      <w:pPr>
        <w:snapToGrid w:val="0"/>
        <w:spacing w:line="440" w:lineRule="exact"/>
        <w:jc w:val="left"/>
        <w:rPr>
          <w:rFonts w:hint="eastAsia" w:ascii="楷体_GB2312" w:hAnsi="楷体" w:eastAsia="楷体_GB2312" w:cs="楷体"/>
          <w:szCs w:val="28"/>
        </w:rPr>
      </w:pPr>
      <w:r>
        <w:rPr>
          <w:rFonts w:hint="eastAsia" w:ascii="楷体_GB2312" w:hAnsi="楷体" w:eastAsia="楷体_GB2312" w:cs="楷体"/>
          <w:szCs w:val="28"/>
        </w:rPr>
        <w:t>1）上交资料中有调研相关图片、视频，具备一定数量和较高质量；</w:t>
      </w:r>
    </w:p>
    <w:p>
      <w:pPr>
        <w:snapToGrid w:val="0"/>
        <w:spacing w:line="440" w:lineRule="exact"/>
        <w:jc w:val="left"/>
        <w:rPr>
          <w:rFonts w:hint="eastAsia" w:ascii="楷体_GB2312" w:hAnsi="楷体" w:eastAsia="楷体_GB2312" w:cs="楷体"/>
          <w:szCs w:val="28"/>
        </w:rPr>
      </w:pPr>
      <w:r>
        <w:rPr>
          <w:rFonts w:hint="eastAsia" w:ascii="楷体_GB2312" w:hAnsi="楷体" w:eastAsia="楷体_GB2312" w:cs="楷体"/>
          <w:szCs w:val="28"/>
        </w:rPr>
        <w:t>2）在调研过程中，能恰当运用网络方式（如微博，微信，秒拍等）扩大影响力；</w:t>
      </w:r>
    </w:p>
    <w:p>
      <w:pPr>
        <w:snapToGrid w:val="0"/>
        <w:spacing w:line="440" w:lineRule="exact"/>
        <w:jc w:val="left"/>
        <w:rPr>
          <w:rFonts w:hint="eastAsia" w:ascii="楷体" w:hAnsi="楷体" w:eastAsia="楷体" w:cs="楷体"/>
          <w:szCs w:val="28"/>
        </w:rPr>
      </w:pPr>
      <w:r>
        <w:rPr>
          <w:rFonts w:hint="eastAsia" w:ascii="楷体_GB2312" w:hAnsi="楷体" w:eastAsia="楷体_GB2312" w:cs="楷体"/>
          <w:szCs w:val="28"/>
        </w:rPr>
        <w:t>以上内容每项10分，可酌情加分</w:t>
      </w:r>
      <w:r>
        <w:rPr>
          <w:rFonts w:hint="eastAsia" w:ascii="楷体" w:hAnsi="楷体" w:eastAsia="楷体" w:cs="楷体"/>
          <w:szCs w:val="28"/>
        </w:rPr>
        <w:t>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25433884">
    <w:nsid w:val="54F6651C"/>
    <w:multiLevelType w:val="singleLevel"/>
    <w:tmpl w:val="54F6651C"/>
    <w:lvl w:ilvl="0" w:tentative="1">
      <w:start w:val="5"/>
      <w:numFmt w:val="decimal"/>
      <w:suff w:val="nothing"/>
      <w:lvlText w:val="%1）"/>
      <w:lvlJc w:val="left"/>
    </w:lvl>
  </w:abstractNum>
  <w:abstractNum w:abstractNumId="1425433787">
    <w:nsid w:val="54F664BB"/>
    <w:multiLevelType w:val="singleLevel"/>
    <w:tmpl w:val="54F664BB"/>
    <w:lvl w:ilvl="0" w:tentative="1">
      <w:start w:val="1"/>
      <w:numFmt w:val="decimal"/>
      <w:suff w:val="nothing"/>
      <w:lvlText w:val="%1）"/>
      <w:lvlJc w:val="left"/>
    </w:lvl>
  </w:abstractNum>
  <w:num w:numId="1">
    <w:abstractNumId w:val="1425433787"/>
  </w:num>
  <w:num w:numId="2">
    <w:abstractNumId w:val="14254338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119A3"/>
    <w:rsid w:val="49D119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2015-11-23T09:35:00Z</dcterms:created>
  <dc:creator>Administrator</dc:creator>
  <cp:lastModifiedBy>Administrator</cp:lastModifiedBy>
  <dcterms:modified xsi:type="dcterms:W3CDTF">2015-11-23T09:35:32Z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